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 w:rsidRPr="00393049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393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2020.6.28</w:t>
            </w: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393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5.1.1,5.1.3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3930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Pr="00393049" w:rsidRDefault="00393049">
            <w:pPr>
              <w:jc w:val="center"/>
              <w:rPr>
                <w:sz w:val="24"/>
                <w:szCs w:val="24"/>
              </w:rPr>
            </w:pPr>
            <w:r w:rsidRPr="00393049">
              <w:rPr>
                <w:rFonts w:hint="eastAsia"/>
                <w:sz w:val="24"/>
                <w:szCs w:val="24"/>
              </w:rPr>
              <w:t>将“体育教研室”表述，</w:t>
            </w:r>
            <w:r w:rsidR="005C12B7" w:rsidRPr="00393049">
              <w:rPr>
                <w:rFonts w:hint="eastAsia"/>
                <w:sz w:val="24"/>
                <w:szCs w:val="24"/>
              </w:rPr>
              <w:t>改为</w:t>
            </w:r>
            <w:r w:rsidRPr="00393049">
              <w:rPr>
                <w:rFonts w:hint="eastAsia"/>
                <w:sz w:val="24"/>
                <w:szCs w:val="24"/>
              </w:rPr>
              <w:t>“</w:t>
            </w:r>
            <w:r w:rsidR="005C12B7" w:rsidRPr="00393049">
              <w:rPr>
                <w:rFonts w:hint="eastAsia"/>
                <w:sz w:val="24"/>
                <w:szCs w:val="24"/>
              </w:rPr>
              <w:t>体育教学部</w:t>
            </w:r>
            <w:r w:rsidRPr="00393049">
              <w:rPr>
                <w:rFonts w:hint="eastAsia"/>
                <w:sz w:val="24"/>
                <w:szCs w:val="24"/>
              </w:rPr>
              <w:t>”表述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体育教学部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赵嘉馨</w:t>
            </w:r>
            <w:proofErr w:type="gramEnd"/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D61F3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刘彬</w:t>
            </w: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发 放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范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围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93049">
            <w:pPr>
              <w:jc w:val="distribute"/>
            </w:pPr>
            <w:r w:rsidRPr="00393049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>
        <w:trPr>
          <w:trHeight w:val="851"/>
          <w:jc w:val="center"/>
        </w:trPr>
        <w:tc>
          <w:tcPr>
            <w:tcW w:w="2477" w:type="dxa"/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3F635D" w:rsidRDefault="00D61F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林恬</w:t>
            </w:r>
            <w:bookmarkStart w:id="0" w:name="_GoBack"/>
            <w:bookmarkEnd w:id="0"/>
          </w:p>
        </w:tc>
      </w:tr>
    </w:tbl>
    <w:p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3F635D" w:rsidRPr="00B029D8" w:rsidRDefault="003F635D"/>
    <w:p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3F635D" w:rsidRPr="0044171F" w:rsidRDefault="005C12B7" w:rsidP="004417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C12B7">
        <w:rPr>
          <w:rFonts w:hint="eastAsia"/>
          <w:sz w:val="24"/>
          <w:szCs w:val="24"/>
        </w:rPr>
        <w:t>为规范雨天体育</w:t>
      </w:r>
      <w:r>
        <w:rPr>
          <w:rFonts w:hint="eastAsia"/>
          <w:sz w:val="24"/>
          <w:szCs w:val="24"/>
        </w:rPr>
        <w:t>课程</w:t>
      </w:r>
      <w:r w:rsidRPr="005C12B7">
        <w:rPr>
          <w:rFonts w:hint="eastAsia"/>
          <w:sz w:val="24"/>
          <w:szCs w:val="24"/>
        </w:rPr>
        <w:t>教学，现对雨天体育</w:t>
      </w:r>
      <w:r>
        <w:rPr>
          <w:rFonts w:hint="eastAsia"/>
          <w:sz w:val="24"/>
          <w:szCs w:val="24"/>
        </w:rPr>
        <w:t>课程</w:t>
      </w:r>
      <w:r w:rsidRPr="005C12B7"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提出如下原则意见。</w:t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3F635D" w:rsidRDefault="003930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3F635D" w:rsidRDefault="00AE34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393049">
        <w:rPr>
          <w:rFonts w:asciiTheme="minorEastAsia" w:hAnsiTheme="minorEastAsia" w:hint="eastAsia"/>
          <w:sz w:val="24"/>
          <w:szCs w:val="24"/>
        </w:rPr>
        <w:t>体育教学部负责关于体育课雨天教学的原则意见的实施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3F635D" w:rsidRPr="00393049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049">
        <w:rPr>
          <w:rFonts w:asciiTheme="minorEastAsia" w:hAnsiTheme="minorEastAsia"/>
          <w:sz w:val="24"/>
          <w:szCs w:val="24"/>
        </w:rPr>
        <w:t xml:space="preserve">5.1 </w:t>
      </w:r>
      <w:r w:rsidR="005C12B7" w:rsidRPr="00393049">
        <w:rPr>
          <w:rFonts w:asciiTheme="minorEastAsia" w:hAnsiTheme="minorEastAsia" w:hint="eastAsia"/>
          <w:sz w:val="24"/>
          <w:szCs w:val="24"/>
        </w:rPr>
        <w:t>在体育课上课前下雨，并持续下雨。</w:t>
      </w:r>
    </w:p>
    <w:p w:rsidR="003F635D" w:rsidRPr="005C12B7" w:rsidRDefault="00C14C2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5.1.1</w:t>
      </w:r>
      <w:r w:rsidR="005C12B7">
        <w:rPr>
          <w:rFonts w:asciiTheme="minorEastAsia" w:hAnsiTheme="minorEastAsia" w:hint="eastAsia"/>
          <w:color w:val="000000" w:themeColor="text1"/>
          <w:sz w:val="24"/>
          <w:szCs w:val="24"/>
        </w:rPr>
        <w:t>教师根据</w:t>
      </w:r>
      <w:r w:rsidR="005C12B7" w:rsidRPr="00393049">
        <w:rPr>
          <w:rFonts w:asciiTheme="minorEastAsia" w:hAnsiTheme="minorEastAsia" w:hint="eastAsia"/>
          <w:sz w:val="24"/>
          <w:szCs w:val="24"/>
        </w:rPr>
        <w:t>体育教学部雨</w:t>
      </w:r>
      <w:r w:rsidR="005C12B7" w:rsidRPr="005C12B7">
        <w:rPr>
          <w:rFonts w:asciiTheme="minorEastAsia" w:hAnsiTheme="minorEastAsia" w:hint="eastAsia"/>
          <w:color w:val="000000" w:themeColor="text1"/>
          <w:sz w:val="24"/>
          <w:szCs w:val="24"/>
        </w:rPr>
        <w:t>天体育教学的场地安排上课。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5.1.2</w:t>
      </w:r>
      <w:r w:rsidR="005C12B7" w:rsidRPr="005C12B7">
        <w:rPr>
          <w:rFonts w:asciiTheme="minorEastAsia" w:hAnsiTheme="minorEastAsia" w:hint="eastAsia"/>
          <w:sz w:val="24"/>
          <w:szCs w:val="24"/>
        </w:rPr>
        <w:t>教师须在期初对学生公布雨天上课的时间、地点，以确保雨天体育课的出勤率。</w:t>
      </w:r>
    </w:p>
    <w:p w:rsidR="00EA35B3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5C12B7">
        <w:rPr>
          <w:rFonts w:asciiTheme="minorEastAsia" w:hAnsiTheme="minorEastAsia" w:hint="eastAsia"/>
          <w:sz w:val="24"/>
          <w:szCs w:val="24"/>
        </w:rPr>
        <w:t>教师如自行安排，因事先与</w:t>
      </w:r>
      <w:r w:rsidR="005C12B7" w:rsidRPr="00393049">
        <w:rPr>
          <w:rFonts w:asciiTheme="minorEastAsia" w:hAnsiTheme="minorEastAsia" w:hint="eastAsia"/>
          <w:sz w:val="24"/>
          <w:szCs w:val="24"/>
        </w:rPr>
        <w:t>体育教学部</w:t>
      </w:r>
      <w:r w:rsidR="005C12B7" w:rsidRPr="005C12B7">
        <w:rPr>
          <w:rFonts w:asciiTheme="minorEastAsia" w:hAnsiTheme="minorEastAsia" w:hint="eastAsia"/>
          <w:sz w:val="24"/>
          <w:szCs w:val="24"/>
        </w:rPr>
        <w:t>通报上课的时间、地点，否则按教学事故论处。</w:t>
      </w:r>
    </w:p>
    <w:p w:rsidR="003F635D" w:rsidRPr="00393049" w:rsidRDefault="00C14C2E" w:rsidP="005C12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049">
        <w:rPr>
          <w:rFonts w:asciiTheme="minorEastAsia" w:hAnsiTheme="minorEastAsia"/>
          <w:sz w:val="24"/>
          <w:szCs w:val="24"/>
        </w:rPr>
        <w:t>5.2</w:t>
      </w:r>
      <w:r w:rsidR="005C12B7" w:rsidRPr="00393049">
        <w:rPr>
          <w:rFonts w:asciiTheme="minorEastAsia" w:hAnsiTheme="minorEastAsia" w:hint="eastAsia"/>
          <w:sz w:val="24"/>
          <w:szCs w:val="24"/>
        </w:rPr>
        <w:t>在体育课上课前雨过天晴，但上课场地严重积水，并影响本次课教学任务的完成。</w:t>
      </w:r>
    </w:p>
    <w:p w:rsidR="003F635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.1</w:t>
      </w:r>
      <w:r w:rsidR="005C12B7" w:rsidRPr="005C12B7">
        <w:rPr>
          <w:rFonts w:asciiTheme="minorEastAsia" w:hAnsiTheme="minorEastAsia" w:hint="eastAsia"/>
          <w:sz w:val="24"/>
          <w:szCs w:val="24"/>
        </w:rPr>
        <w:t>在室内场地上课的教师正常上课（包括体育理论课）。</w:t>
      </w:r>
    </w:p>
    <w:p w:rsid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5C12B7" w:rsidRPr="005C12B7">
        <w:rPr>
          <w:rFonts w:asciiTheme="minorEastAsia" w:hAnsiTheme="minorEastAsia" w:hint="eastAsia"/>
          <w:sz w:val="24"/>
          <w:szCs w:val="24"/>
        </w:rPr>
        <w:t>在室外场地上课的教师，采用更改教学内容、自寻上课场地的办法完成教学。</w:t>
      </w:r>
    </w:p>
    <w:p w:rsidR="003501CA" w:rsidRPr="00393049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049">
        <w:rPr>
          <w:rFonts w:asciiTheme="minorEastAsia" w:hAnsiTheme="minorEastAsia"/>
          <w:sz w:val="24"/>
          <w:szCs w:val="24"/>
        </w:rPr>
        <w:t>5.</w:t>
      </w:r>
      <w:r w:rsidRPr="00393049">
        <w:rPr>
          <w:rFonts w:asciiTheme="minorEastAsia" w:hAnsiTheme="minorEastAsia" w:hint="eastAsia"/>
          <w:sz w:val="24"/>
          <w:szCs w:val="24"/>
        </w:rPr>
        <w:t>3</w:t>
      </w:r>
      <w:r w:rsidR="005C12B7" w:rsidRPr="00393049">
        <w:rPr>
          <w:rFonts w:asciiTheme="minorEastAsia" w:hAnsiTheme="minorEastAsia" w:hint="eastAsia"/>
          <w:sz w:val="24"/>
          <w:szCs w:val="24"/>
        </w:rPr>
        <w:t>在体育课上课期间下雨，并持续下雨。</w:t>
      </w:r>
    </w:p>
    <w:p w:rsidR="008D4E03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</w:t>
      </w:r>
      <w:r w:rsidR="005C12B7" w:rsidRPr="005C12B7">
        <w:rPr>
          <w:rFonts w:asciiTheme="minorEastAsia" w:hAnsiTheme="minorEastAsia" w:hint="eastAsia"/>
          <w:sz w:val="24"/>
          <w:szCs w:val="24"/>
        </w:rPr>
        <w:t>在室内场地上课的教师正常上课（包括体育理论课）。</w:t>
      </w:r>
    </w:p>
    <w:p w:rsidR="00A90C76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5C12B7" w:rsidRPr="005C12B7">
        <w:rPr>
          <w:rFonts w:asciiTheme="minorEastAsia" w:hAnsiTheme="minorEastAsia" w:hint="eastAsia"/>
          <w:sz w:val="24"/>
          <w:szCs w:val="24"/>
        </w:rPr>
        <w:t>在室外场地上课的教师视雨量的大小而定。如雨大，确已无法坚持上课，则可下课；否则应继续上课。</w:t>
      </w:r>
    </w:p>
    <w:p w:rsidR="00A90C76" w:rsidRPr="00393049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049">
        <w:rPr>
          <w:rFonts w:asciiTheme="minorEastAsia" w:hAnsiTheme="minorEastAsia"/>
          <w:sz w:val="24"/>
          <w:szCs w:val="24"/>
        </w:rPr>
        <w:t>5.</w:t>
      </w:r>
      <w:r w:rsidRPr="00393049">
        <w:rPr>
          <w:rFonts w:asciiTheme="minorEastAsia" w:hAnsiTheme="minorEastAsia" w:hint="eastAsia"/>
          <w:sz w:val="24"/>
          <w:szCs w:val="24"/>
        </w:rPr>
        <w:t>4</w:t>
      </w:r>
      <w:r w:rsidR="005C12B7" w:rsidRPr="00393049">
        <w:rPr>
          <w:rFonts w:asciiTheme="minorEastAsia" w:hAnsiTheme="minorEastAsia" w:hint="eastAsia"/>
          <w:sz w:val="24"/>
          <w:szCs w:val="24"/>
        </w:rPr>
        <w:tab/>
        <w:t>教师要本着认真、负责的态度对待体育教学，力争维护体育教学形象，提高教学的责任心，钻研体育教学教法，利用现有的运动场地上好每一节体育课。</w:t>
      </w:r>
    </w:p>
    <w:p w:rsidR="00E02409" w:rsidRPr="00393049" w:rsidRDefault="00885A6E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3049">
        <w:rPr>
          <w:rFonts w:asciiTheme="minorEastAsia" w:hAnsiTheme="minorEastAsia"/>
          <w:sz w:val="24"/>
          <w:szCs w:val="24"/>
        </w:rPr>
        <w:t>5.</w:t>
      </w:r>
      <w:r w:rsidRPr="00393049">
        <w:rPr>
          <w:rFonts w:asciiTheme="minorEastAsia" w:hAnsiTheme="minorEastAsia" w:hint="eastAsia"/>
          <w:sz w:val="24"/>
          <w:szCs w:val="24"/>
        </w:rPr>
        <w:t>5</w:t>
      </w:r>
      <w:proofErr w:type="gramStart"/>
      <w:r w:rsidR="005C12B7" w:rsidRPr="00393049">
        <w:rPr>
          <w:rFonts w:asciiTheme="minorEastAsia" w:hAnsiTheme="minorEastAsia" w:hint="eastAsia"/>
          <w:sz w:val="24"/>
          <w:szCs w:val="24"/>
        </w:rPr>
        <w:t>本意见自下发</w:t>
      </w:r>
      <w:proofErr w:type="gramEnd"/>
      <w:r w:rsidR="005C12B7" w:rsidRPr="00393049">
        <w:rPr>
          <w:rFonts w:asciiTheme="minorEastAsia" w:hAnsiTheme="minorEastAsia" w:hint="eastAsia"/>
          <w:sz w:val="24"/>
          <w:szCs w:val="24"/>
        </w:rPr>
        <w:t>之日起开始执行。</w:t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5C12B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 w:rsidP="00EF76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C14C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7.1 </w:t>
            </w:r>
            <w:r w:rsidR="00EF7641">
              <w:rPr>
                <w:rFonts w:asciiTheme="minorEastAsia" w:hAnsiTheme="minorEastAsia" w:hint="eastAsia"/>
                <w:sz w:val="24"/>
                <w:szCs w:val="24"/>
              </w:rPr>
              <w:t>上海建桥学院体育馆雨天场地安排表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93049" w:rsidRPr="00393049" w:rsidRDefault="00393049" w:rsidP="0039304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3049">
              <w:rPr>
                <w:rFonts w:asciiTheme="minorEastAsia" w:hAnsiTheme="minorEastAsia" w:hint="eastAsia"/>
                <w:sz w:val="24"/>
                <w:szCs w:val="24"/>
              </w:rPr>
              <w:t>SJQU-QR-体教-005（A0）</w:t>
            </w:r>
          </w:p>
          <w:p w:rsidR="003F635D" w:rsidRDefault="00393049" w:rsidP="00393049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304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:rsidR="003F635D" w:rsidRDefault="00AE34C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</w:p>
    <w:p w:rsidR="003F635D" w:rsidRDefault="003F635D">
      <w:pPr>
        <w:spacing w:line="360" w:lineRule="auto"/>
        <w:rPr>
          <w:b/>
          <w:sz w:val="24"/>
          <w:szCs w:val="24"/>
        </w:rPr>
      </w:pPr>
    </w:p>
    <w:sectPr w:rsidR="003F6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8D" w:rsidRDefault="005D508D">
      <w:r>
        <w:separator/>
      </w:r>
    </w:p>
  </w:endnote>
  <w:endnote w:type="continuationSeparator" w:id="0">
    <w:p w:rsidR="005D508D" w:rsidRDefault="005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49" w:rsidRDefault="003930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3E108" wp14:editId="1B7CA03D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47EB62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49" w:rsidRDefault="00393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8D" w:rsidRDefault="005D508D">
      <w:r>
        <w:separator/>
      </w:r>
    </w:p>
  </w:footnote>
  <w:footnote w:type="continuationSeparator" w:id="0">
    <w:p w:rsidR="005D508D" w:rsidRDefault="005D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49" w:rsidRDefault="00393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9608CE" wp14:editId="19DCB4E9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" filled="f" stroked="f" strokeweight=".5pt">
                    <v:textbox>
                      <w:txbxContent>
                        <w:p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4314FB9A" wp14:editId="17051C30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3F22D2">
            <w:rPr>
              <w:rFonts w:ascii="宋体" w:eastAsia="宋体" w:hAnsi="宋体" w:hint="eastAsia"/>
              <w:sz w:val="24"/>
              <w:szCs w:val="24"/>
            </w:rPr>
            <w:t>体教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 w:rsidR="000B3A6E">
            <w:rPr>
              <w:rFonts w:hint="eastAsia"/>
              <w:sz w:val="24"/>
              <w:szCs w:val="24"/>
            </w:rPr>
            <w:t>04</w:t>
          </w:r>
        </w:p>
      </w:tc>
    </w:tr>
    <w:tr w:rsidR="003F635D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3F635D" w:rsidRDefault="003F635D">
          <w:pPr>
            <w:pStyle w:val="a4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5C12B7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>
            <w:rPr>
              <w:rFonts w:hint="eastAsia"/>
              <w:sz w:val="24"/>
              <w:szCs w:val="24"/>
            </w:rPr>
            <w:t>20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6</w:t>
          </w:r>
          <w:r w:rsidR="003F22D2">
            <w:rPr>
              <w:sz w:val="24"/>
              <w:szCs w:val="24"/>
            </w:rPr>
            <w:t>-</w:t>
          </w:r>
          <w:r w:rsidR="00393049">
            <w:rPr>
              <w:rFonts w:hint="eastAsia"/>
              <w:sz w:val="24"/>
              <w:szCs w:val="24"/>
            </w:rPr>
            <w:t>28</w:t>
          </w:r>
        </w:p>
      </w:tc>
    </w:tr>
    <w:tr w:rsidR="003F635D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3F635D" w:rsidRDefault="00534D85" w:rsidP="00534D85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关于体育课雨天教学的原则意见</w:t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3F635D" w:rsidRDefault="00C14C2E" w:rsidP="0044171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D61F3D" w:rsidRPr="00D61F3D">
            <w:rPr>
              <w:bCs/>
              <w:noProof/>
              <w:sz w:val="24"/>
              <w:szCs w:val="24"/>
              <w:lang w:val="zh-CN"/>
            </w:rPr>
            <w:t>1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 w:rsidR="009E74B0">
            <w:rPr>
              <w:rFonts w:hint="eastAsia"/>
              <w:bCs/>
              <w:sz w:val="24"/>
              <w:szCs w:val="24"/>
            </w:rPr>
            <w:t>3</w:t>
          </w:r>
        </w:p>
      </w:tc>
      <w:tc>
        <w:tcPr>
          <w:tcW w:w="982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3F635D" w:rsidRDefault="00393049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A1</w:t>
          </w:r>
        </w:p>
      </w:tc>
    </w:tr>
  </w:tbl>
  <w:p w:rsidR="003F635D" w:rsidRDefault="003F635D">
    <w:pPr>
      <w:pStyle w:val="a4"/>
      <w:pBdr>
        <w:bottom w:val="single" w:sz="6" w:space="0" w:color="auto"/>
      </w:pBd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49" w:rsidRDefault="00393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1314E"/>
    <w:rsid w:val="00035D90"/>
    <w:rsid w:val="0008244E"/>
    <w:rsid w:val="000B3A6E"/>
    <w:rsid w:val="000C6410"/>
    <w:rsid w:val="000D0E4C"/>
    <w:rsid w:val="000E052E"/>
    <w:rsid w:val="00106A60"/>
    <w:rsid w:val="001D4326"/>
    <w:rsid w:val="002473DB"/>
    <w:rsid w:val="00270823"/>
    <w:rsid w:val="002917CE"/>
    <w:rsid w:val="00291DEB"/>
    <w:rsid w:val="002D0ECC"/>
    <w:rsid w:val="002D5130"/>
    <w:rsid w:val="002F4B64"/>
    <w:rsid w:val="00304DEA"/>
    <w:rsid w:val="003225FE"/>
    <w:rsid w:val="00325536"/>
    <w:rsid w:val="00327199"/>
    <w:rsid w:val="003501CA"/>
    <w:rsid w:val="00393049"/>
    <w:rsid w:val="003A660F"/>
    <w:rsid w:val="003D69EE"/>
    <w:rsid w:val="003F22D2"/>
    <w:rsid w:val="003F635D"/>
    <w:rsid w:val="00425160"/>
    <w:rsid w:val="00437377"/>
    <w:rsid w:val="0044171F"/>
    <w:rsid w:val="0046652A"/>
    <w:rsid w:val="00493244"/>
    <w:rsid w:val="004A4838"/>
    <w:rsid w:val="004E3AC2"/>
    <w:rsid w:val="00534D85"/>
    <w:rsid w:val="00593E36"/>
    <w:rsid w:val="005A51C6"/>
    <w:rsid w:val="005C12B7"/>
    <w:rsid w:val="005D508D"/>
    <w:rsid w:val="005D5676"/>
    <w:rsid w:val="00607E3C"/>
    <w:rsid w:val="00656644"/>
    <w:rsid w:val="00691636"/>
    <w:rsid w:val="00702DE3"/>
    <w:rsid w:val="007418D6"/>
    <w:rsid w:val="007436B8"/>
    <w:rsid w:val="00782C54"/>
    <w:rsid w:val="00790180"/>
    <w:rsid w:val="007D4C6F"/>
    <w:rsid w:val="00866B55"/>
    <w:rsid w:val="00885A6E"/>
    <w:rsid w:val="008C3A9E"/>
    <w:rsid w:val="008D4E03"/>
    <w:rsid w:val="008F44C7"/>
    <w:rsid w:val="008F630A"/>
    <w:rsid w:val="009656FF"/>
    <w:rsid w:val="00967166"/>
    <w:rsid w:val="00977CED"/>
    <w:rsid w:val="00990A95"/>
    <w:rsid w:val="009D0E27"/>
    <w:rsid w:val="009D1996"/>
    <w:rsid w:val="009E28F7"/>
    <w:rsid w:val="009E74B0"/>
    <w:rsid w:val="00A005D3"/>
    <w:rsid w:val="00A200C1"/>
    <w:rsid w:val="00A40B41"/>
    <w:rsid w:val="00A5764A"/>
    <w:rsid w:val="00A90C76"/>
    <w:rsid w:val="00A9222A"/>
    <w:rsid w:val="00AA3E54"/>
    <w:rsid w:val="00AC3DFD"/>
    <w:rsid w:val="00AE34C3"/>
    <w:rsid w:val="00AE44A6"/>
    <w:rsid w:val="00B012AF"/>
    <w:rsid w:val="00B029D8"/>
    <w:rsid w:val="00B134FA"/>
    <w:rsid w:val="00B32C66"/>
    <w:rsid w:val="00B55387"/>
    <w:rsid w:val="00B8660A"/>
    <w:rsid w:val="00BB09F2"/>
    <w:rsid w:val="00BB6541"/>
    <w:rsid w:val="00BE2D64"/>
    <w:rsid w:val="00C14C2E"/>
    <w:rsid w:val="00C15D76"/>
    <w:rsid w:val="00C81861"/>
    <w:rsid w:val="00CC3DFB"/>
    <w:rsid w:val="00CE595C"/>
    <w:rsid w:val="00D61F3D"/>
    <w:rsid w:val="00D8291B"/>
    <w:rsid w:val="00D9404A"/>
    <w:rsid w:val="00DB0074"/>
    <w:rsid w:val="00DC0AC8"/>
    <w:rsid w:val="00DE00CB"/>
    <w:rsid w:val="00DE5FFE"/>
    <w:rsid w:val="00DF347A"/>
    <w:rsid w:val="00E02409"/>
    <w:rsid w:val="00E12089"/>
    <w:rsid w:val="00E1454E"/>
    <w:rsid w:val="00E43A99"/>
    <w:rsid w:val="00E534D7"/>
    <w:rsid w:val="00E7145D"/>
    <w:rsid w:val="00E742A9"/>
    <w:rsid w:val="00EA35B3"/>
    <w:rsid w:val="00EA4334"/>
    <w:rsid w:val="00EC6585"/>
    <w:rsid w:val="00EF7641"/>
    <w:rsid w:val="00F06958"/>
    <w:rsid w:val="00F52AFA"/>
    <w:rsid w:val="00F85480"/>
    <w:rsid w:val="00FA20F1"/>
    <w:rsid w:val="00FA39E1"/>
    <w:rsid w:val="00FE6F00"/>
    <w:rsid w:val="00FF2F0E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8A256-7B9C-43C0-972E-13C21A30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AutoBVT</cp:lastModifiedBy>
  <cp:revision>62</cp:revision>
  <cp:lastPrinted>2017-09-21T05:27:00Z</cp:lastPrinted>
  <dcterms:created xsi:type="dcterms:W3CDTF">2017-09-21T08:43:00Z</dcterms:created>
  <dcterms:modified xsi:type="dcterms:W3CDTF">2020-06-30T05:29:00Z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